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9D" w:rsidRDefault="00AE689D" w:rsidP="00AE689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AE689D" w:rsidRDefault="00AE689D" w:rsidP="00AE689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AE689D" w:rsidRDefault="00AE689D" w:rsidP="00AE689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AE689D" w:rsidRDefault="00AE689D" w:rsidP="00AE689D">
      <w:pPr>
        <w:spacing w:line="360" w:lineRule="auto"/>
        <w:jc w:val="center"/>
        <w:rPr>
          <w:b/>
          <w:sz w:val="28"/>
          <w:szCs w:val="28"/>
        </w:rPr>
      </w:pPr>
    </w:p>
    <w:p w:rsidR="00AE689D" w:rsidRDefault="00AE689D" w:rsidP="00AE689D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E689D" w:rsidRDefault="00AE689D" w:rsidP="00AE689D">
      <w:pPr>
        <w:spacing w:line="360" w:lineRule="auto"/>
        <w:jc w:val="center"/>
        <w:rPr>
          <w:b/>
          <w:sz w:val="28"/>
          <w:szCs w:val="28"/>
        </w:rPr>
      </w:pPr>
    </w:p>
    <w:p w:rsidR="00AE689D" w:rsidRPr="00F2236B" w:rsidRDefault="00AE689D" w:rsidP="00AE689D">
      <w:pPr>
        <w:spacing w:line="360" w:lineRule="auto"/>
        <w:rPr>
          <w:sz w:val="28"/>
          <w:szCs w:val="28"/>
        </w:rPr>
      </w:pPr>
      <w:r>
        <w:t>От 01.03.2021</w:t>
      </w:r>
      <w:r>
        <w:t xml:space="preserve">                                                                                                    </w:t>
      </w:r>
      <w:r>
        <w:t xml:space="preserve"> № 14 - </w:t>
      </w:r>
      <w:proofErr w:type="gramStart"/>
      <w:r>
        <w:t>п</w:t>
      </w:r>
      <w:proofErr w:type="gramEnd"/>
    </w:p>
    <w:p w:rsidR="00AE689D" w:rsidRDefault="00AE689D" w:rsidP="00AE689D">
      <w:pPr>
        <w:pStyle w:val="consplustitle"/>
        <w:jc w:val="center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О проведении торгов  </w:t>
      </w:r>
      <w:r>
        <w:rPr>
          <w:color w:val="3B2D36"/>
          <w:sz w:val="28"/>
          <w:szCs w:val="28"/>
        </w:rPr>
        <w:t>на право заключения договора аренды</w:t>
      </w:r>
    </w:p>
    <w:p w:rsidR="00AE689D" w:rsidRPr="00F2236B" w:rsidRDefault="00AE689D" w:rsidP="00AE689D">
      <w:pPr>
        <w:pStyle w:val="consplustitle"/>
        <w:jc w:val="center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муниципального имущества</w:t>
      </w:r>
      <w:r w:rsidRPr="00F2236B">
        <w:rPr>
          <w:color w:val="3B2D36"/>
          <w:sz w:val="28"/>
          <w:szCs w:val="28"/>
        </w:rPr>
        <w:t> </w:t>
      </w:r>
    </w:p>
    <w:p w:rsidR="00AE689D" w:rsidRDefault="00AE689D" w:rsidP="00AE689D">
      <w:pPr>
        <w:ind w:firstLine="709"/>
        <w:jc w:val="both"/>
        <w:rPr>
          <w:color w:val="3B2D36"/>
          <w:sz w:val="28"/>
          <w:szCs w:val="28"/>
        </w:rPr>
      </w:pPr>
      <w:proofErr w:type="gramStart"/>
      <w:r w:rsidRPr="00F2236B">
        <w:rPr>
          <w:color w:val="3B2D36"/>
          <w:sz w:val="28"/>
          <w:szCs w:val="28"/>
        </w:rPr>
        <w:t xml:space="preserve">В соответствии </w:t>
      </w:r>
      <w:r>
        <w:rPr>
          <w:color w:val="3B2D36"/>
          <w:sz w:val="28"/>
          <w:szCs w:val="28"/>
        </w:rPr>
        <w:t xml:space="preserve"> с  Гражданским кодексом Российской Федерации, Федеральными законами Российской Федерации от 06.10.2003 № 131-ФЗ «Об общих принципах организации местного самоуправления в Российской Федерации», от 26.07.2006 г. № 135-ФЗ «О защите конкуренции», от 29.07.1998 № 135-ФЗ  «Об оценочной деятельности в Российской Федерации», Приказом ФАС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</w:t>
      </w:r>
      <w:proofErr w:type="gramEnd"/>
      <w:r>
        <w:rPr>
          <w:color w:val="3B2D36"/>
          <w:sz w:val="28"/>
          <w:szCs w:val="28"/>
        </w:rPr>
        <w:t xml:space="preserve">, </w:t>
      </w:r>
      <w:proofErr w:type="gramStart"/>
      <w:r>
        <w:rPr>
          <w:color w:val="3B2D36"/>
          <w:sz w:val="28"/>
          <w:szCs w:val="28"/>
        </w:rPr>
        <w:t xml:space="preserve">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 путём проведения торгов в форме конкурса», согласно отчёту независимого оценщика от 27.01.2021 г. № 109/2021 « Об оценке рыночной стоимости ставок месячной арендной платы за право пользования автотранспортными средствами, принадлежащими на праве собственности </w:t>
      </w:r>
      <w:proofErr w:type="spellStart"/>
      <w:r>
        <w:rPr>
          <w:color w:val="3B2D36"/>
          <w:sz w:val="28"/>
          <w:szCs w:val="28"/>
        </w:rPr>
        <w:t>Сорочинскому</w:t>
      </w:r>
      <w:proofErr w:type="spellEnd"/>
      <w:proofErr w:type="gramEnd"/>
      <w:r>
        <w:rPr>
          <w:color w:val="3B2D36"/>
          <w:sz w:val="28"/>
          <w:szCs w:val="28"/>
        </w:rPr>
        <w:t xml:space="preserve"> сельскому поселению Калачинского муниципального района Омской области,  по состоянию на 27 января 2021 года», в целях повышения эффективности управления и распоряжения муниципальным имуществом Сорочинского сельского поселения, администрация Сорочинского сельского поселения ПОСТАНОВЛЯЕТ:</w:t>
      </w:r>
    </w:p>
    <w:p w:rsidR="00AE689D" w:rsidRDefault="00AE689D" w:rsidP="00AE689D">
      <w:pPr>
        <w:ind w:firstLine="709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1.</w:t>
      </w:r>
      <w:r w:rsidRPr="007423D7">
        <w:rPr>
          <w:color w:val="3B2D36"/>
          <w:sz w:val="28"/>
          <w:szCs w:val="28"/>
        </w:rPr>
        <w:t xml:space="preserve"> Провести аукцион, открытый по составу участников, на право заключения договор</w:t>
      </w:r>
      <w:r>
        <w:rPr>
          <w:color w:val="3B2D36"/>
          <w:sz w:val="28"/>
          <w:szCs w:val="28"/>
        </w:rPr>
        <w:t>а аренды на следующее имущество, подлежащего включению в состав одного лота для проведения аукциона:</w:t>
      </w:r>
    </w:p>
    <w:p w:rsidR="00AE689D" w:rsidRDefault="00AE689D" w:rsidP="00AE689D">
      <w:pPr>
        <w:ind w:firstLine="709"/>
        <w:jc w:val="both"/>
        <w:rPr>
          <w:color w:val="3B2D36"/>
          <w:sz w:val="28"/>
          <w:szCs w:val="28"/>
        </w:rPr>
      </w:pPr>
    </w:p>
    <w:p w:rsidR="00AE689D" w:rsidRDefault="00AE689D" w:rsidP="00AE689D">
      <w:pPr>
        <w:ind w:firstLine="709"/>
        <w:jc w:val="both"/>
        <w:rPr>
          <w:color w:val="3B2D3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1432"/>
        <w:gridCol w:w="872"/>
        <w:gridCol w:w="977"/>
        <w:gridCol w:w="977"/>
        <w:gridCol w:w="1172"/>
        <w:gridCol w:w="1236"/>
        <w:gridCol w:w="1258"/>
      </w:tblGrid>
      <w:tr w:rsidR="00AE689D" w:rsidTr="00553AF0">
        <w:tc>
          <w:tcPr>
            <w:tcW w:w="1361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Предмет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аукциона</w:t>
            </w:r>
          </w:p>
        </w:tc>
        <w:tc>
          <w:tcPr>
            <w:tcW w:w="1189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Объект аукциона</w:t>
            </w:r>
          </w:p>
        </w:tc>
        <w:tc>
          <w:tcPr>
            <w:tcW w:w="1115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Год выпуска</w:t>
            </w:r>
          </w:p>
        </w:tc>
        <w:tc>
          <w:tcPr>
            <w:tcW w:w="114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Двигатель №</w:t>
            </w:r>
          </w:p>
        </w:tc>
        <w:tc>
          <w:tcPr>
            <w:tcW w:w="113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Заводской номер машины (рамы)/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шасси</w:t>
            </w:r>
          </w:p>
        </w:tc>
        <w:tc>
          <w:tcPr>
            <w:tcW w:w="113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proofErr w:type="spellStart"/>
            <w:r w:rsidRPr="0001521E">
              <w:rPr>
                <w:sz w:val="16"/>
                <w:szCs w:val="16"/>
              </w:rPr>
              <w:t>Государ</w:t>
            </w:r>
            <w:proofErr w:type="spellEnd"/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proofErr w:type="spellStart"/>
            <w:r w:rsidRPr="0001521E">
              <w:rPr>
                <w:sz w:val="16"/>
                <w:szCs w:val="16"/>
              </w:rPr>
              <w:t>ственный</w:t>
            </w:r>
            <w:proofErr w:type="spellEnd"/>
            <w:r w:rsidRPr="0001521E">
              <w:rPr>
                <w:sz w:val="16"/>
                <w:szCs w:val="16"/>
              </w:rPr>
              <w:t xml:space="preserve"> регистра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proofErr w:type="spellStart"/>
            <w:r w:rsidRPr="0001521E">
              <w:rPr>
                <w:sz w:val="16"/>
                <w:szCs w:val="16"/>
              </w:rPr>
              <w:t>ционный</w:t>
            </w:r>
            <w:proofErr w:type="spellEnd"/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знак</w:t>
            </w:r>
          </w:p>
        </w:tc>
        <w:tc>
          <w:tcPr>
            <w:tcW w:w="1236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Начальная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(минимальная)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Цена договора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 xml:space="preserve">(цена лота) </w:t>
            </w:r>
            <w:proofErr w:type="gramStart"/>
            <w:r w:rsidRPr="0001521E">
              <w:rPr>
                <w:sz w:val="16"/>
                <w:szCs w:val="16"/>
              </w:rPr>
              <w:t>с</w:t>
            </w:r>
            <w:proofErr w:type="gramEnd"/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Учётом НДС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(рублей)</w:t>
            </w:r>
          </w:p>
        </w:tc>
        <w:tc>
          <w:tcPr>
            <w:tcW w:w="125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Шаг аукциона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5% начальной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(минимальной)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Цены договора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 xml:space="preserve">(цена лота) </w:t>
            </w:r>
          </w:p>
          <w:p w:rsidR="00AE689D" w:rsidRPr="0001521E" w:rsidRDefault="00AE689D" w:rsidP="00553AF0">
            <w:pPr>
              <w:jc w:val="both"/>
              <w:rPr>
                <w:sz w:val="16"/>
                <w:szCs w:val="16"/>
              </w:rPr>
            </w:pPr>
            <w:r w:rsidRPr="0001521E">
              <w:rPr>
                <w:sz w:val="16"/>
                <w:szCs w:val="16"/>
              </w:rPr>
              <w:t>(рублей)</w:t>
            </w:r>
          </w:p>
        </w:tc>
      </w:tr>
      <w:tr w:rsidR="00AE689D" w:rsidTr="00553AF0">
        <w:tc>
          <w:tcPr>
            <w:tcW w:w="1361" w:type="dxa"/>
            <w:vMerge w:val="restart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 xml:space="preserve">Право </w:t>
            </w:r>
            <w:r w:rsidRPr="0001521E">
              <w:rPr>
                <w:sz w:val="20"/>
                <w:szCs w:val="20"/>
              </w:rPr>
              <w:lastRenderedPageBreak/>
              <w:t>заключения договора аренды муниципального имущества</w:t>
            </w:r>
          </w:p>
        </w:tc>
        <w:tc>
          <w:tcPr>
            <w:tcW w:w="1189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lastRenderedPageBreak/>
              <w:t>Трактор МТЗ-</w:t>
            </w:r>
            <w:r w:rsidRPr="0001521E">
              <w:rPr>
                <w:sz w:val="20"/>
                <w:szCs w:val="20"/>
              </w:rPr>
              <w:lastRenderedPageBreak/>
              <w:t>80.1</w:t>
            </w:r>
          </w:p>
        </w:tc>
        <w:tc>
          <w:tcPr>
            <w:tcW w:w="1115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lastRenderedPageBreak/>
              <w:t>1990</w:t>
            </w:r>
          </w:p>
        </w:tc>
        <w:tc>
          <w:tcPr>
            <w:tcW w:w="114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702766</w:t>
            </w:r>
          </w:p>
        </w:tc>
        <w:tc>
          <w:tcPr>
            <w:tcW w:w="113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729213</w:t>
            </w:r>
          </w:p>
        </w:tc>
        <w:tc>
          <w:tcPr>
            <w:tcW w:w="113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МТ1326</w:t>
            </w:r>
          </w:p>
        </w:tc>
        <w:tc>
          <w:tcPr>
            <w:tcW w:w="1236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1200,00</w:t>
            </w:r>
          </w:p>
        </w:tc>
        <w:tc>
          <w:tcPr>
            <w:tcW w:w="125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60,00</w:t>
            </w:r>
          </w:p>
        </w:tc>
      </w:tr>
      <w:tr w:rsidR="00AE689D" w:rsidTr="00553AF0">
        <w:tc>
          <w:tcPr>
            <w:tcW w:w="1361" w:type="dxa"/>
            <w:vMerge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Прицеп тракторный самосвальный 2ПТС-4 мод.887Б</w:t>
            </w:r>
          </w:p>
        </w:tc>
        <w:tc>
          <w:tcPr>
            <w:tcW w:w="1115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2008</w:t>
            </w:r>
          </w:p>
        </w:tc>
        <w:tc>
          <w:tcPr>
            <w:tcW w:w="114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1247</w:t>
            </w:r>
          </w:p>
        </w:tc>
        <w:tc>
          <w:tcPr>
            <w:tcW w:w="113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МТ1327</w:t>
            </w:r>
          </w:p>
        </w:tc>
        <w:tc>
          <w:tcPr>
            <w:tcW w:w="1236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1335,00</w:t>
            </w:r>
          </w:p>
        </w:tc>
        <w:tc>
          <w:tcPr>
            <w:tcW w:w="125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66,75</w:t>
            </w:r>
          </w:p>
        </w:tc>
      </w:tr>
      <w:tr w:rsidR="00AE689D" w:rsidTr="00553AF0">
        <w:tc>
          <w:tcPr>
            <w:tcW w:w="1361" w:type="dxa"/>
            <w:vMerge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 xml:space="preserve">Автомобиль ГАЗ 3307 </w:t>
            </w:r>
          </w:p>
        </w:tc>
        <w:tc>
          <w:tcPr>
            <w:tcW w:w="1115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1992</w:t>
            </w:r>
          </w:p>
        </w:tc>
        <w:tc>
          <w:tcPr>
            <w:tcW w:w="114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0260091</w:t>
            </w:r>
          </w:p>
        </w:tc>
        <w:tc>
          <w:tcPr>
            <w:tcW w:w="113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1425964</w:t>
            </w:r>
          </w:p>
        </w:tc>
        <w:tc>
          <w:tcPr>
            <w:tcW w:w="1132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М247ХВ55</w:t>
            </w:r>
          </w:p>
        </w:tc>
        <w:tc>
          <w:tcPr>
            <w:tcW w:w="1236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1465,00</w:t>
            </w:r>
          </w:p>
        </w:tc>
        <w:tc>
          <w:tcPr>
            <w:tcW w:w="125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sz w:val="20"/>
                <w:szCs w:val="20"/>
              </w:rPr>
            </w:pPr>
            <w:r w:rsidRPr="0001521E">
              <w:rPr>
                <w:sz w:val="20"/>
                <w:szCs w:val="20"/>
              </w:rPr>
              <w:t>73,25</w:t>
            </w:r>
          </w:p>
        </w:tc>
      </w:tr>
      <w:tr w:rsidR="00AE689D" w:rsidTr="00553AF0">
        <w:tc>
          <w:tcPr>
            <w:tcW w:w="7077" w:type="dxa"/>
            <w:gridSpan w:val="6"/>
            <w:shd w:val="clear" w:color="auto" w:fill="auto"/>
          </w:tcPr>
          <w:p w:rsidR="00AE689D" w:rsidRPr="0001521E" w:rsidRDefault="00AE689D" w:rsidP="00553AF0">
            <w:pPr>
              <w:jc w:val="center"/>
              <w:rPr>
                <w:b/>
              </w:rPr>
            </w:pPr>
            <w:r w:rsidRPr="0001521E">
              <w:rPr>
                <w:b/>
              </w:rPr>
              <w:t>ИТОГО по лоту</w:t>
            </w:r>
          </w:p>
        </w:tc>
        <w:tc>
          <w:tcPr>
            <w:tcW w:w="1236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b/>
              </w:rPr>
            </w:pPr>
            <w:r w:rsidRPr="0001521E">
              <w:rPr>
                <w:b/>
              </w:rPr>
              <w:t>4000,00</w:t>
            </w:r>
          </w:p>
        </w:tc>
        <w:tc>
          <w:tcPr>
            <w:tcW w:w="1258" w:type="dxa"/>
            <w:shd w:val="clear" w:color="auto" w:fill="auto"/>
          </w:tcPr>
          <w:p w:rsidR="00AE689D" w:rsidRPr="0001521E" w:rsidRDefault="00AE689D" w:rsidP="00553AF0">
            <w:pPr>
              <w:jc w:val="both"/>
              <w:rPr>
                <w:b/>
              </w:rPr>
            </w:pPr>
            <w:r w:rsidRPr="0001521E">
              <w:rPr>
                <w:b/>
              </w:rPr>
              <w:t>200,00</w:t>
            </w:r>
          </w:p>
        </w:tc>
      </w:tr>
    </w:tbl>
    <w:p w:rsidR="00AE689D" w:rsidRPr="00A32328" w:rsidRDefault="00AE689D" w:rsidP="00AE689D">
      <w:pPr>
        <w:ind w:firstLine="709"/>
        <w:jc w:val="both"/>
        <w:rPr>
          <w:sz w:val="28"/>
          <w:szCs w:val="28"/>
        </w:rPr>
      </w:pPr>
    </w:p>
    <w:p w:rsidR="00AE689D" w:rsidRPr="00A32328" w:rsidRDefault="00AE689D" w:rsidP="00AE689D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 xml:space="preserve">3. Утвердить прилагаемые документацию об аукционе и проект договора аренды муниципального имущества и разместить их на официальном сайте торгов  </w:t>
      </w:r>
      <w:hyperlink r:id="rId5" w:history="1">
        <w:r w:rsidRPr="00AE689D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AE689D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AE689D">
          <w:rPr>
            <w:rStyle w:val="a3"/>
            <w:color w:val="auto"/>
            <w:sz w:val="28"/>
            <w:szCs w:val="28"/>
            <w:u w:val="none"/>
            <w:lang w:val="en-US"/>
          </w:rPr>
          <w:t>torgi</w:t>
        </w:r>
        <w:proofErr w:type="spellEnd"/>
        <w:r w:rsidRPr="00AE689D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AE689D">
          <w:rPr>
            <w:rStyle w:val="a3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AE689D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AE689D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E689D">
        <w:rPr>
          <w:sz w:val="28"/>
          <w:szCs w:val="28"/>
        </w:rPr>
        <w:t xml:space="preserve"> и</w:t>
      </w:r>
      <w:r w:rsidRPr="00A32328">
        <w:rPr>
          <w:sz w:val="28"/>
          <w:szCs w:val="28"/>
        </w:rPr>
        <w:t xml:space="preserve"> официальном сайте администрации Сорочинского сельского поселения в сети Интернет.</w:t>
      </w:r>
    </w:p>
    <w:p w:rsidR="00AE689D" w:rsidRPr="005012C6" w:rsidRDefault="00AE689D" w:rsidP="00AE689D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>4. Извещение о проведен</w:t>
      </w:r>
      <w:proofErr w:type="gramStart"/>
      <w:r w:rsidRPr="00A32328">
        <w:rPr>
          <w:sz w:val="28"/>
          <w:szCs w:val="28"/>
        </w:rPr>
        <w:t>ии ау</w:t>
      </w:r>
      <w:proofErr w:type="gramEnd"/>
      <w:r w:rsidRPr="00A32328">
        <w:rPr>
          <w:sz w:val="28"/>
          <w:szCs w:val="28"/>
        </w:rPr>
        <w:t xml:space="preserve">кциона на право заключения договора аренды муниципального имущества разместить  на официальном сайте торгов </w:t>
      </w:r>
      <w:hyperlink r:id="rId6" w:history="1">
        <w:r w:rsidRPr="00850F65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850F65">
          <w:rPr>
            <w:rStyle w:val="a3"/>
            <w:color w:val="auto"/>
            <w:sz w:val="28"/>
            <w:szCs w:val="28"/>
            <w:u w:val="none"/>
          </w:rPr>
          <w:t>.</w:t>
        </w:r>
        <w:r w:rsidRPr="00850F65">
          <w:rPr>
            <w:rStyle w:val="a3"/>
            <w:color w:val="auto"/>
            <w:sz w:val="28"/>
            <w:szCs w:val="28"/>
            <w:u w:val="none"/>
            <w:lang w:val="en-US"/>
          </w:rPr>
          <w:t>torgi</w:t>
        </w:r>
        <w:r w:rsidRPr="00850F65">
          <w:rPr>
            <w:rStyle w:val="a3"/>
            <w:color w:val="auto"/>
            <w:sz w:val="28"/>
            <w:szCs w:val="28"/>
            <w:u w:val="none"/>
          </w:rPr>
          <w:t>.</w:t>
        </w:r>
        <w:r w:rsidRPr="00850F65">
          <w:rPr>
            <w:rStyle w:val="a3"/>
            <w:color w:val="auto"/>
            <w:sz w:val="28"/>
            <w:szCs w:val="28"/>
            <w:u w:val="none"/>
            <w:lang w:val="en-US"/>
          </w:rPr>
          <w:t>gov</w:t>
        </w:r>
        <w:r w:rsidRPr="00850F65">
          <w:rPr>
            <w:rStyle w:val="a3"/>
            <w:color w:val="auto"/>
            <w:sz w:val="28"/>
            <w:szCs w:val="28"/>
            <w:u w:val="none"/>
          </w:rPr>
          <w:t>.</w:t>
        </w:r>
        <w:r w:rsidRPr="00850F65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A32328">
        <w:rPr>
          <w:sz w:val="28"/>
          <w:szCs w:val="28"/>
        </w:rPr>
        <w:t xml:space="preserve"> и официальном сайте администрации Сорочинского сельского поселения Калачинского муниципального района Омской области </w:t>
      </w:r>
      <w:hyperlink r:id="rId7" w:history="1">
        <w:r w:rsidRPr="005012C6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5012C6">
          <w:rPr>
            <w:rStyle w:val="a3"/>
            <w:color w:val="auto"/>
            <w:sz w:val="28"/>
            <w:szCs w:val="28"/>
            <w:u w:val="none"/>
          </w:rPr>
          <w:t>.</w:t>
        </w:r>
        <w:r w:rsidRPr="005012C6">
          <w:rPr>
            <w:rStyle w:val="a3"/>
            <w:color w:val="auto"/>
            <w:sz w:val="28"/>
            <w:szCs w:val="28"/>
            <w:u w:val="none"/>
            <w:lang w:val="en-US"/>
          </w:rPr>
          <w:t>omskportal</w:t>
        </w:r>
        <w:r w:rsidRPr="005012C6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012C6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012C6">
        <w:rPr>
          <w:sz w:val="28"/>
          <w:szCs w:val="28"/>
        </w:rPr>
        <w:t xml:space="preserve"> .</w:t>
      </w:r>
    </w:p>
    <w:p w:rsidR="00AE689D" w:rsidRPr="00A32328" w:rsidRDefault="00AE689D" w:rsidP="00AE689D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>5. Настоящее постановление вступает в силу после его опубликования.</w:t>
      </w:r>
    </w:p>
    <w:p w:rsidR="00AE689D" w:rsidRPr="00A32328" w:rsidRDefault="00AE689D" w:rsidP="00AE689D">
      <w:pPr>
        <w:ind w:firstLine="709"/>
        <w:jc w:val="both"/>
        <w:rPr>
          <w:sz w:val="28"/>
          <w:szCs w:val="28"/>
        </w:rPr>
      </w:pPr>
      <w:r w:rsidRPr="00A32328">
        <w:rPr>
          <w:sz w:val="28"/>
          <w:szCs w:val="28"/>
        </w:rPr>
        <w:t>6. Контроль исполнения настоящего постановления оставляю за собой.</w:t>
      </w:r>
    </w:p>
    <w:p w:rsidR="00AE689D" w:rsidRPr="00A32328" w:rsidRDefault="00AE689D" w:rsidP="00AE689D">
      <w:pPr>
        <w:ind w:firstLine="709"/>
        <w:jc w:val="both"/>
        <w:rPr>
          <w:sz w:val="28"/>
          <w:szCs w:val="28"/>
        </w:rPr>
      </w:pPr>
    </w:p>
    <w:p w:rsidR="00AE689D" w:rsidRPr="00A32328" w:rsidRDefault="00AE689D" w:rsidP="00AE689D">
      <w:pPr>
        <w:ind w:firstLine="709"/>
        <w:jc w:val="both"/>
        <w:rPr>
          <w:sz w:val="28"/>
          <w:szCs w:val="28"/>
        </w:rPr>
      </w:pPr>
    </w:p>
    <w:p w:rsidR="00AE689D" w:rsidRDefault="00AE689D" w:rsidP="00AE689D">
      <w:pPr>
        <w:ind w:firstLine="709"/>
        <w:jc w:val="both"/>
      </w:pPr>
    </w:p>
    <w:p w:rsidR="00AE689D" w:rsidRDefault="00AE689D" w:rsidP="00AE689D">
      <w:pPr>
        <w:ind w:firstLine="709"/>
        <w:jc w:val="both"/>
      </w:pPr>
    </w:p>
    <w:p w:rsidR="00AE689D" w:rsidRPr="000F3C28" w:rsidRDefault="000F3C28" w:rsidP="000F3C28">
      <w:pPr>
        <w:rPr>
          <w:sz w:val="28"/>
          <w:szCs w:val="28"/>
        </w:rPr>
      </w:pPr>
      <w:bookmarkStart w:id="0" w:name="_GoBack"/>
      <w:r w:rsidRPr="000F3C28">
        <w:rPr>
          <w:sz w:val="28"/>
          <w:szCs w:val="28"/>
        </w:rPr>
        <w:t xml:space="preserve">Глава сельского поселения                                                       </w:t>
      </w:r>
      <w:proofErr w:type="spellStart"/>
      <w:r w:rsidRPr="000F3C28">
        <w:rPr>
          <w:sz w:val="28"/>
          <w:szCs w:val="28"/>
        </w:rPr>
        <w:t>А.П.Комиссаров</w:t>
      </w:r>
      <w:proofErr w:type="spellEnd"/>
    </w:p>
    <w:bookmarkEnd w:id="0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FA"/>
    <w:rsid w:val="000F3C28"/>
    <w:rsid w:val="0012775C"/>
    <w:rsid w:val="001843FA"/>
    <w:rsid w:val="002A421F"/>
    <w:rsid w:val="005012C6"/>
    <w:rsid w:val="00850F65"/>
    <w:rsid w:val="00A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AE689D"/>
    <w:pPr>
      <w:spacing w:before="100" w:beforeAutospacing="1" w:after="100" w:afterAutospacing="1"/>
    </w:pPr>
  </w:style>
  <w:style w:type="character" w:styleId="a3">
    <w:name w:val="Hyperlink"/>
    <w:rsid w:val="00AE6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AE689D"/>
    <w:pPr>
      <w:spacing w:before="100" w:beforeAutospacing="1" w:after="100" w:afterAutospacing="1"/>
    </w:pPr>
  </w:style>
  <w:style w:type="character" w:styleId="a3">
    <w:name w:val="Hyperlink"/>
    <w:rsid w:val="00AE6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mskporta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2021-03-15T02:56:00Z</dcterms:created>
  <dcterms:modified xsi:type="dcterms:W3CDTF">2021-03-15T02:57:00Z</dcterms:modified>
</cp:coreProperties>
</file>